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10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311"/>
        <w:gridCol w:w="10237"/>
        <w:gridCol w:w="1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809" w:type="dxa"/>
            <w:vMerge w:val="restart"/>
            <w:vAlign w:val="center"/>
          </w:tcPr>
          <w:p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过程与活动、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抽样计划</w:t>
            </w:r>
          </w:p>
        </w:tc>
        <w:tc>
          <w:tcPr>
            <w:tcW w:w="1311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涉及条款</w:t>
            </w:r>
          </w:p>
        </w:tc>
        <w:tc>
          <w:tcPr>
            <w:tcW w:w="10237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受审核部门：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主管领导：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胡明飞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陪同人员：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罗锦霞</w:t>
            </w:r>
          </w:p>
        </w:tc>
        <w:tc>
          <w:tcPr>
            <w:tcW w:w="1352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11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7" w:type="dxa"/>
            <w:vAlign w:val="center"/>
          </w:tcPr>
          <w:p>
            <w:pPr>
              <w:spacing w:before="120"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审核员：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宋明珠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郭力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审核时间：20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352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9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11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7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审核条款：Q 5.3/6.2/8.7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E5.3/6.2/8.2</w:t>
            </w:r>
          </w:p>
        </w:tc>
        <w:tc>
          <w:tcPr>
            <w:tcW w:w="1352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809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职责权限、</w:t>
            </w:r>
          </w:p>
        </w:tc>
        <w:tc>
          <w:tcPr>
            <w:tcW w:w="1311" w:type="dxa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Q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E：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5.3</w:t>
            </w:r>
          </w:p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3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询问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胡明飞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，能明确本人在质量管理体系方面的职责：基础设施管理、工作环境管理、运行策划和控制、产品设计开发服务提供的控制。</w:t>
            </w:r>
          </w:p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询问主要职责：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◆负责顾客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技术资料及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图纸的接收确认，顾客财产的管理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，样品制作等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； 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协助参与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合同评审和供方评价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负责投标书技术部分的编写；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◆负责生产计划制定，并确保生产的正常运行和生产计划的达成；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◆负责生产设备设施的维修和保养等综合管理；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◆负责生产现场的物料、区域、产品的标识；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◆配合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营销中心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做好顾客满意度调查；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行政人事部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组织下，对本部门管理体系的运行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进行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控制（废弃物管理、危险化学品管理、能源资源控制等），负责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本部门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应急事项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管理；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行政人事部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组织下，做好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本部门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危险源、环境因素的识别和评价工作；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◆配合公司管理目标指标的制订与管理方案的执行；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◆对本部门相关环境安全管理缺陷采取纠正与预防措施；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◆负责对安全文明生产操作、环境保护、管理体系运行等进行监控；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◆负责来料检查、工序巡检，半成品及成品检验，对质量工作提供保证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◆负责组织本部门进行环境因素和危险源的识别、评价、跟踪和更新；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◆做好本部门质量、环境和职业健康安全的管理工作； 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◆负责本部门的合规义务评审工作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◆负责组织本部门进行环境因素和危险源的识别、评价、跟踪和更新；</w:t>
            </w:r>
          </w:p>
          <w:p>
            <w:pPr>
              <w:spacing w:line="360" w:lineRule="auto"/>
              <w:ind w:left="420" w:leftChars="20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◆完成公司领导交办的其它各项工作。</w:t>
            </w:r>
          </w:p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部门职责清晰、明确。市场开发部负责人能基本阐述本部门的主要职责。</w:t>
            </w:r>
          </w:p>
        </w:tc>
        <w:tc>
          <w:tcPr>
            <w:tcW w:w="135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809" w:type="dxa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目标、指标管理方案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11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Q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E：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6.2</w:t>
            </w:r>
          </w:p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237" w:type="dxa"/>
          </w:tcPr>
          <w:p>
            <w:pPr>
              <w:autoSpaceDE w:val="0"/>
              <w:autoSpaceDN w:val="0"/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Cs w:val="22"/>
              </w:rPr>
              <w:t>20</w:t>
            </w:r>
            <w:r>
              <w:rPr>
                <w:rFonts w:hint="eastAsia"/>
                <w:szCs w:val="22"/>
                <w:lang w:val="en-US" w:eastAsia="zh-CN"/>
              </w:rPr>
              <w:t>20年1-5月</w:t>
            </w:r>
            <w:r>
              <w:rPr>
                <w:rFonts w:hint="eastAsia"/>
                <w:szCs w:val="22"/>
              </w:rPr>
              <w:t>考核情况：经查已完成。</w:t>
            </w:r>
          </w:p>
          <w:tbl>
            <w:tblPr>
              <w:tblStyle w:val="10"/>
              <w:tblW w:w="0" w:type="auto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22"/>
              <w:gridCol w:w="2236"/>
              <w:gridCol w:w="730"/>
              <w:gridCol w:w="2539"/>
              <w:gridCol w:w="12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22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Arial" w:hAnsi="宋体" w:cs="Arial"/>
                      <w:sz w:val="24"/>
                      <w:lang w:eastAsia="zh-CN"/>
                    </w:rPr>
                  </w:pPr>
                </w:p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hint="eastAsia" w:ascii="Arial" w:hAnsi="宋体" w:cs="Arial"/>
                      <w:sz w:val="24"/>
                      <w:lang w:eastAsia="zh-CN"/>
                    </w:rPr>
                    <w:t>技术部</w:t>
                  </w:r>
                  <w:r>
                    <w:rPr>
                      <w:rFonts w:ascii="Arial" w:hAnsi="宋体" w:cs="Arial"/>
                      <w:sz w:val="24"/>
                    </w:rPr>
                    <w:t>目标</w:t>
                  </w:r>
                </w:p>
              </w:tc>
              <w:tc>
                <w:tcPr>
                  <w:tcW w:w="2236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统计方式</w:t>
                  </w:r>
                </w:p>
              </w:tc>
              <w:tc>
                <w:tcPr>
                  <w:tcW w:w="730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周期</w:t>
                  </w:r>
                </w:p>
              </w:tc>
              <w:tc>
                <w:tcPr>
                  <w:tcW w:w="2539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完成情况</w:t>
                  </w:r>
                </w:p>
              </w:tc>
              <w:tc>
                <w:tcPr>
                  <w:tcW w:w="1204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考核情况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55" w:hRule="atLeast"/>
              </w:trPr>
              <w:tc>
                <w:tcPr>
                  <w:tcW w:w="2622" w:type="dxa"/>
                  <w:noWrap w:val="0"/>
                  <w:vAlign w:val="top"/>
                </w:tcPr>
                <w:p>
                  <w:pPr>
                    <w:rPr>
                      <w:rFonts w:hint="eastAsia" w:ascii="Arial" w:hAnsi="宋体" w:cs="Arial"/>
                      <w:szCs w:val="21"/>
                    </w:rPr>
                  </w:pPr>
                  <w:r>
                    <w:rPr>
                      <w:rFonts w:hint="eastAsia" w:ascii="Arial" w:hAnsi="宋体" w:cs="Arial"/>
                      <w:szCs w:val="21"/>
                      <w:lang w:val="en-US" w:eastAsia="zh-CN"/>
                    </w:rPr>
                    <w:t>1.</w:t>
                  </w:r>
                  <w:r>
                    <w:rPr>
                      <w:rFonts w:hint="eastAsia" w:ascii="Arial" w:hAnsi="宋体" w:cs="Arial"/>
                      <w:szCs w:val="21"/>
                      <w:lang w:eastAsia="zh-CN"/>
                    </w:rPr>
                    <w:t>技术服务合格率</w:t>
                  </w:r>
                  <w:r>
                    <w:rPr>
                      <w:rFonts w:hint="eastAsia" w:ascii="Arial" w:hAnsi="宋体" w:cs="Arial"/>
                      <w:szCs w:val="21"/>
                      <w:lang w:val="en-US" w:eastAsia="zh-CN"/>
                    </w:rPr>
                    <w:t>100%</w:t>
                  </w:r>
                  <w:r>
                    <w:rPr>
                      <w:rFonts w:hint="eastAsia" w:ascii="Arial" w:hAnsi="宋体" w:cs="Arial"/>
                      <w:szCs w:val="21"/>
                    </w:rPr>
                    <w:t>；</w:t>
                  </w:r>
                </w:p>
                <w:p>
                  <w:pPr>
                    <w:rPr>
                      <w:rFonts w:hint="eastAsia" w:ascii="Arial" w:hAnsi="宋体" w:cs="Arial"/>
                      <w:szCs w:val="21"/>
                    </w:rPr>
                  </w:pPr>
                  <w:r>
                    <w:rPr>
                      <w:rFonts w:hint="eastAsia" w:ascii="Arial" w:hAnsi="宋体" w:cs="Arial"/>
                      <w:szCs w:val="21"/>
                      <w:lang w:val="en-US" w:eastAsia="zh-CN"/>
                    </w:rPr>
                    <w:t>2</w:t>
                  </w:r>
                  <w:r>
                    <w:rPr>
                      <w:rFonts w:hint="eastAsia" w:ascii="Arial" w:hAnsi="宋体" w:cs="Arial"/>
                      <w:szCs w:val="21"/>
                    </w:rPr>
                    <w:t>.固体废弃物（含危废）有效处置率≥95%</w:t>
                  </w:r>
                </w:p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236" w:type="dxa"/>
                  <w:noWrap w:val="0"/>
                  <w:vAlign w:val="top"/>
                </w:tcPr>
                <w:p>
                  <w:pPr>
                    <w:rPr>
                      <w:rFonts w:ascii="Arial" w:hAnsi="Arial" w:cs="Arial"/>
                      <w:szCs w:val="21"/>
                    </w:rPr>
                  </w:pPr>
                  <w:r>
                    <w:rPr>
                      <w:rFonts w:ascii="Arial" w:hAnsi="Arial" w:cs="Arial"/>
                      <w:szCs w:val="21"/>
                    </w:rPr>
                    <w:t>1.</w:t>
                  </w:r>
                  <w:r>
                    <w:rPr>
                      <w:rFonts w:hint="eastAsia" w:ascii="Arial" w:hAnsi="Arial" w:cs="Arial"/>
                      <w:szCs w:val="21"/>
                      <w:lang w:val="en-US" w:eastAsia="zh-CN"/>
                    </w:rPr>
                    <w:t>技术服务合格数/技术服务总数</w:t>
                  </w:r>
                  <w:r>
                    <w:rPr>
                      <w:rFonts w:ascii="Arial" w:hAnsi="Arial" w:cs="Arial"/>
                      <w:szCs w:val="21"/>
                    </w:rPr>
                    <w:t>×100%</w:t>
                  </w:r>
                </w:p>
                <w:p>
                  <w:pPr>
                    <w:rPr>
                      <w:rFonts w:ascii="Arial" w:hAnsi="Arial" w:cs="Arial"/>
                      <w:szCs w:val="21"/>
                    </w:rPr>
                  </w:pPr>
                  <w:r>
                    <w:rPr>
                      <w:rFonts w:hint="eastAsia" w:ascii="Arial" w:hAnsi="Arial" w:cs="Arial"/>
                      <w:szCs w:val="21"/>
                      <w:lang w:val="en-US" w:eastAsia="zh-CN"/>
                    </w:rPr>
                    <w:t>2</w:t>
                  </w:r>
                  <w:r>
                    <w:rPr>
                      <w:rFonts w:ascii="Arial" w:hAnsi="Arial" w:cs="Arial"/>
                      <w:szCs w:val="21"/>
                    </w:rPr>
                    <w:t>.</w:t>
                  </w:r>
                  <w:r>
                    <w:rPr>
                      <w:rFonts w:ascii="Arial" w:hAnsi="宋体" w:cs="Arial"/>
                      <w:szCs w:val="21"/>
                    </w:rPr>
                    <w:t>环境日常监视测量记录显示的固体分类收集符合性</w:t>
                  </w:r>
                </w:p>
              </w:tc>
              <w:tc>
                <w:tcPr>
                  <w:tcW w:w="730" w:type="dxa"/>
                  <w:noWrap w:val="0"/>
                  <w:vAlign w:val="top"/>
                </w:tcPr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Cs w:val="21"/>
                    </w:rPr>
                  </w:pPr>
                  <w:r>
                    <w:rPr>
                      <w:rFonts w:ascii="Arial" w:hAnsi="宋体" w:cs="Arial"/>
                      <w:szCs w:val="21"/>
                    </w:rPr>
                    <w:t>半年</w:t>
                  </w:r>
                </w:p>
              </w:tc>
              <w:tc>
                <w:tcPr>
                  <w:tcW w:w="2539" w:type="dxa"/>
                  <w:noWrap w:val="0"/>
                  <w:vAlign w:val="top"/>
                </w:tcPr>
                <w:p>
                  <w:pPr>
                    <w:rPr>
                      <w:rFonts w:hint="eastAsia" w:ascii="Arial" w:hAnsi="宋体" w:cs="Arial"/>
                      <w:szCs w:val="21"/>
                    </w:rPr>
                  </w:pPr>
                  <w:r>
                    <w:rPr>
                      <w:rFonts w:hint="eastAsia" w:ascii="Arial" w:hAnsi="宋体" w:cs="Arial"/>
                      <w:szCs w:val="21"/>
                      <w:lang w:val="en-US" w:eastAsia="zh-CN"/>
                    </w:rPr>
                    <w:t>1.</w:t>
                  </w:r>
                  <w:r>
                    <w:rPr>
                      <w:rFonts w:hint="eastAsia" w:ascii="Arial" w:hAnsi="宋体" w:cs="Arial"/>
                      <w:szCs w:val="21"/>
                      <w:lang w:eastAsia="zh-CN"/>
                    </w:rPr>
                    <w:t>技术服务合格率</w:t>
                  </w:r>
                  <w:r>
                    <w:rPr>
                      <w:rFonts w:hint="eastAsia" w:ascii="Arial" w:hAnsi="宋体" w:cs="Arial"/>
                      <w:szCs w:val="21"/>
                      <w:lang w:val="en-US" w:eastAsia="zh-CN"/>
                    </w:rPr>
                    <w:t>100%</w:t>
                  </w:r>
                  <w:r>
                    <w:rPr>
                      <w:rFonts w:hint="eastAsia" w:ascii="Arial" w:hAnsi="宋体" w:cs="Arial"/>
                      <w:szCs w:val="21"/>
                      <w:lang w:eastAsia="zh-CN"/>
                    </w:rPr>
                    <w:t>；</w:t>
                  </w:r>
                </w:p>
                <w:p>
                  <w:pPr>
                    <w:rPr>
                      <w:rFonts w:hint="eastAsia" w:ascii="Arial" w:hAnsi="宋体" w:cs="Arial"/>
                      <w:szCs w:val="21"/>
                    </w:rPr>
                  </w:pPr>
                  <w:r>
                    <w:rPr>
                      <w:rFonts w:hint="eastAsia" w:ascii="Arial" w:hAnsi="宋体" w:cs="Arial"/>
                      <w:szCs w:val="21"/>
                      <w:lang w:val="en-US" w:eastAsia="zh-CN"/>
                    </w:rPr>
                    <w:t>2</w:t>
                  </w:r>
                  <w:r>
                    <w:rPr>
                      <w:rFonts w:hint="eastAsia" w:ascii="Arial" w:hAnsi="宋体" w:cs="Arial"/>
                      <w:szCs w:val="21"/>
                    </w:rPr>
                    <w:t>.固体废弃物（含危废）有效处置率9</w:t>
                  </w:r>
                  <w:r>
                    <w:rPr>
                      <w:rFonts w:hint="eastAsia" w:ascii="Arial" w:hAnsi="宋体" w:cs="Arial"/>
                      <w:szCs w:val="21"/>
                      <w:lang w:val="en-US" w:eastAsia="zh-CN"/>
                    </w:rPr>
                    <w:t>8</w:t>
                  </w:r>
                  <w:r>
                    <w:rPr>
                      <w:rFonts w:hint="eastAsia" w:ascii="Arial" w:hAnsi="宋体" w:cs="Arial"/>
                      <w:szCs w:val="21"/>
                    </w:rPr>
                    <w:t>%</w:t>
                  </w:r>
                </w:p>
                <w:p>
                  <w:pPr>
                    <w:rPr>
                      <w:rFonts w:ascii="Arial" w:hAnsi="Arial" w:cs="Arial"/>
                      <w:szCs w:val="21"/>
                    </w:rPr>
                  </w:pPr>
                </w:p>
              </w:tc>
              <w:tc>
                <w:tcPr>
                  <w:tcW w:w="1204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合格</w:t>
                  </w:r>
                </w:p>
              </w:tc>
            </w:tr>
          </w:tbl>
          <w:p>
            <w:pPr>
              <w:pStyle w:val="3"/>
              <w:rPr>
                <w:rFonts w:hint="eastAsia"/>
                <w:lang w:val="en-US" w:eastAsia="zh-CN"/>
              </w:rPr>
            </w:pPr>
          </w:p>
        </w:tc>
        <w:tc>
          <w:tcPr>
            <w:tcW w:w="135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</w:trPr>
        <w:tc>
          <w:tcPr>
            <w:tcW w:w="1809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应急准备和相应</w:t>
            </w:r>
          </w:p>
        </w:tc>
        <w:tc>
          <w:tcPr>
            <w:tcW w:w="1311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E8.2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237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按照策划的《应急准备和响应控制程序程序》《火灾应急预案》等，明确了相应的运行准则。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技术服务、研发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过程中加强用电安全，防止触电事故和火灾事故的发生，安装了漏电保护器。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现场查灭火器在有效期内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实验室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有“禁止吸烟”，“小心触电” 等环保、安全警示标识。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配有急救药箱，箱内有创可贴、消毒酒精、碘伏、棉棒等。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查201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日参加了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办公室组织的火灾预案演练，提供了相关记录。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自体系运行以来未出现应急事故情况。</w:t>
            </w:r>
          </w:p>
        </w:tc>
        <w:tc>
          <w:tcPr>
            <w:tcW w:w="1352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</w:trPr>
        <w:tc>
          <w:tcPr>
            <w:tcW w:w="1809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不合格输出的控制</w:t>
            </w:r>
          </w:p>
        </w:tc>
        <w:tc>
          <w:tcPr>
            <w:tcW w:w="1311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Q8.7 </w:t>
            </w:r>
          </w:p>
          <w:p>
            <w:pPr>
              <w:spacing w:line="360" w:lineRule="auto"/>
              <w:ind w:left="105" w:lef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237" w:type="dxa"/>
            <w:vAlign w:val="top"/>
          </w:tcPr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T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TW"/>
              </w:rPr>
              <w:t>公司制定并执行了《不合格输出控制程序》，文件对不合格品的识别、控制方法、职责权限作出了具体规定，基本符合标准要求。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T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TW"/>
              </w:rPr>
              <w:t>设计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TW"/>
              </w:rPr>
              <w:t>过程中的不合格品即校审、评审、验证、确认各阶段的不符合，通常采用设计更改的方式进行。经了解，暂无设计过程的不合格品发生进行更改。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T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TW"/>
              </w:rPr>
              <w:t>公司能够使现场不合格品得到有效识别，并防止非预期使用和交付。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TW"/>
              </w:rPr>
              <w:t>产品交付后没有发现不合格的情况，不合格品控制有效。</w:t>
            </w:r>
          </w:p>
        </w:tc>
        <w:tc>
          <w:tcPr>
            <w:tcW w:w="1352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8"/>
        <w:ind w:firstLine="3060" w:firstLineChars="17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说明：不符合标注N</w:t>
      </w: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ind w:firstLine="3060" w:firstLineChars="1700"/>
        <w:rPr>
          <w:rFonts w:hint="eastAsia" w:ascii="楷体" w:hAnsi="楷体" w:eastAsia="楷体"/>
        </w:rPr>
      </w:pPr>
    </w:p>
    <w:p>
      <w:pPr>
        <w:pStyle w:val="8"/>
        <w:rPr>
          <w:rFonts w:hint="eastAsia" w:ascii="楷体" w:hAnsi="楷体" w:eastAsia="楷体"/>
        </w:rPr>
      </w:pP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6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6"/>
        <w:rFonts w:hint="default"/>
      </w:rPr>
      <w:t>北京国标联合认证有限公司</w:t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</w:p>
  <w:p>
    <w:pPr>
      <w:pStyle w:val="9"/>
      <w:pBdr>
        <w:bottom w:val="none" w:color="auto" w:sz="0" w:space="1"/>
      </w:pBdr>
      <w:spacing w:line="320" w:lineRule="exact"/>
      <w:jc w:val="left"/>
    </w:pPr>
    <w:r>
      <w:pict>
        <v:shape id="文本框 1" o:spid="_x0000_s4097" o:spt="202" type="#_x0000_t202" style="position:absolute;left:0pt;margin-left:554.75pt;margin-top:2.2pt;height:20.2pt;width:172pt;z-index:251661312;mso-width-relative:page;mso-height-relative:page;" stroked="f" coordsize="21600,21600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>
                  <w:rPr>
                    <w:rFonts w:hint="eastAsia"/>
                    <w:sz w:val="18"/>
                    <w:szCs w:val="18"/>
                  </w:rPr>
                  <w:t>-31管理体系审核记录表(03版)</w:t>
                </w:r>
              </w:p>
              <w:p/>
            </w:txbxContent>
          </v:textbox>
        </v:shape>
      </w:pict>
    </w:r>
    <w:r>
      <w:rPr>
        <w:rStyle w:val="16"/>
        <w:rFonts w:hint="default"/>
      </w:rPr>
      <w:t xml:space="preserve">        </w:t>
    </w:r>
    <w:r>
      <w:rPr>
        <w:rStyle w:val="16"/>
        <w:rFonts w:hint="default"/>
        <w:w w:val="90"/>
      </w:rPr>
      <w:t>Beijing International Standard united Certification Co.,Ltd.</w:t>
    </w:r>
    <w:r>
      <w:rPr>
        <w:rStyle w:val="16"/>
        <w:rFonts w:hint="default"/>
        <w:w w:val="90"/>
        <w:szCs w:val="21"/>
      </w:rPr>
      <w:t xml:space="preserve">  </w:t>
    </w:r>
    <w:r>
      <w:rPr>
        <w:rStyle w:val="16"/>
        <w:rFonts w:hint="default"/>
        <w:w w:val="90"/>
        <w:sz w:val="20"/>
      </w:rPr>
      <w:t xml:space="preserve"> </w:t>
    </w:r>
    <w:r>
      <w:rPr>
        <w:rStyle w:val="16"/>
        <w:rFonts w:hint="default"/>
        <w:w w:val="90"/>
      </w:rPr>
      <w:t xml:space="preserve">                   </w:t>
    </w:r>
  </w:p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73B4"/>
    <w:rsid w:val="000237F6"/>
    <w:rsid w:val="0003373A"/>
    <w:rsid w:val="000C6DD5"/>
    <w:rsid w:val="00191322"/>
    <w:rsid w:val="001A2D7F"/>
    <w:rsid w:val="001C5D0F"/>
    <w:rsid w:val="00337922"/>
    <w:rsid w:val="00340867"/>
    <w:rsid w:val="00380837"/>
    <w:rsid w:val="003A198A"/>
    <w:rsid w:val="00410914"/>
    <w:rsid w:val="00536930"/>
    <w:rsid w:val="00545695"/>
    <w:rsid w:val="005524D9"/>
    <w:rsid w:val="00564E53"/>
    <w:rsid w:val="00644FE2"/>
    <w:rsid w:val="0067640C"/>
    <w:rsid w:val="006E678B"/>
    <w:rsid w:val="007757F3"/>
    <w:rsid w:val="007E6AEB"/>
    <w:rsid w:val="008973EE"/>
    <w:rsid w:val="00971600"/>
    <w:rsid w:val="009973B4"/>
    <w:rsid w:val="009A2DE9"/>
    <w:rsid w:val="009C28C1"/>
    <w:rsid w:val="009F7EED"/>
    <w:rsid w:val="00AF0AAB"/>
    <w:rsid w:val="00BF597E"/>
    <w:rsid w:val="00C51A36"/>
    <w:rsid w:val="00C55228"/>
    <w:rsid w:val="00CE315A"/>
    <w:rsid w:val="00D06F59"/>
    <w:rsid w:val="00D8388C"/>
    <w:rsid w:val="00EB0164"/>
    <w:rsid w:val="00ED0F62"/>
    <w:rsid w:val="00FC354E"/>
    <w:rsid w:val="01486283"/>
    <w:rsid w:val="021416D8"/>
    <w:rsid w:val="03DC0FCC"/>
    <w:rsid w:val="04343D46"/>
    <w:rsid w:val="044D4B75"/>
    <w:rsid w:val="045B56B3"/>
    <w:rsid w:val="04BA6B7A"/>
    <w:rsid w:val="05CD7495"/>
    <w:rsid w:val="06433CF5"/>
    <w:rsid w:val="071800C4"/>
    <w:rsid w:val="083C5F43"/>
    <w:rsid w:val="08537734"/>
    <w:rsid w:val="08815A9C"/>
    <w:rsid w:val="08A81132"/>
    <w:rsid w:val="09525E59"/>
    <w:rsid w:val="0A2A7030"/>
    <w:rsid w:val="0AF255BC"/>
    <w:rsid w:val="0BEC1E27"/>
    <w:rsid w:val="0D3A6D3B"/>
    <w:rsid w:val="0D9D1D5C"/>
    <w:rsid w:val="0E897CBB"/>
    <w:rsid w:val="0EC76BFE"/>
    <w:rsid w:val="0ED96BB8"/>
    <w:rsid w:val="0F162D0F"/>
    <w:rsid w:val="108219C2"/>
    <w:rsid w:val="10BD58B0"/>
    <w:rsid w:val="10CC02BD"/>
    <w:rsid w:val="13EF2575"/>
    <w:rsid w:val="1493723D"/>
    <w:rsid w:val="151A2F46"/>
    <w:rsid w:val="156E2556"/>
    <w:rsid w:val="157849C1"/>
    <w:rsid w:val="15AD0276"/>
    <w:rsid w:val="17A24658"/>
    <w:rsid w:val="17E90890"/>
    <w:rsid w:val="186E7010"/>
    <w:rsid w:val="18833F23"/>
    <w:rsid w:val="19006116"/>
    <w:rsid w:val="192A3AB8"/>
    <w:rsid w:val="19921EE7"/>
    <w:rsid w:val="19E43C24"/>
    <w:rsid w:val="1A2C47DF"/>
    <w:rsid w:val="1A5805CF"/>
    <w:rsid w:val="1B846EE2"/>
    <w:rsid w:val="1BF467A1"/>
    <w:rsid w:val="1C701804"/>
    <w:rsid w:val="1CAE3BF5"/>
    <w:rsid w:val="1CB93E63"/>
    <w:rsid w:val="1D224A40"/>
    <w:rsid w:val="1D553A9B"/>
    <w:rsid w:val="1D557804"/>
    <w:rsid w:val="1DA96624"/>
    <w:rsid w:val="1E030800"/>
    <w:rsid w:val="1E4A1DDF"/>
    <w:rsid w:val="1EA12B27"/>
    <w:rsid w:val="1EBF7DFB"/>
    <w:rsid w:val="1F517785"/>
    <w:rsid w:val="1FCB2501"/>
    <w:rsid w:val="1FD6378B"/>
    <w:rsid w:val="2098573E"/>
    <w:rsid w:val="20DA078C"/>
    <w:rsid w:val="21D85A19"/>
    <w:rsid w:val="235E3FCA"/>
    <w:rsid w:val="246D2075"/>
    <w:rsid w:val="249D1B51"/>
    <w:rsid w:val="24D906CE"/>
    <w:rsid w:val="258C1377"/>
    <w:rsid w:val="25B63D74"/>
    <w:rsid w:val="26EF525E"/>
    <w:rsid w:val="272F0E48"/>
    <w:rsid w:val="27B32443"/>
    <w:rsid w:val="27F35084"/>
    <w:rsid w:val="28191FAD"/>
    <w:rsid w:val="28D83944"/>
    <w:rsid w:val="28FE2F29"/>
    <w:rsid w:val="2AC46F78"/>
    <w:rsid w:val="2AF844C7"/>
    <w:rsid w:val="2B2319C0"/>
    <w:rsid w:val="2C0A2877"/>
    <w:rsid w:val="2C3A2852"/>
    <w:rsid w:val="2D546CAF"/>
    <w:rsid w:val="2D5E512C"/>
    <w:rsid w:val="2DA74856"/>
    <w:rsid w:val="2E5E2D23"/>
    <w:rsid w:val="2F5C7822"/>
    <w:rsid w:val="2FE52113"/>
    <w:rsid w:val="308A61A3"/>
    <w:rsid w:val="31631119"/>
    <w:rsid w:val="31F96080"/>
    <w:rsid w:val="330904BA"/>
    <w:rsid w:val="345F4D69"/>
    <w:rsid w:val="34B30427"/>
    <w:rsid w:val="35EB5546"/>
    <w:rsid w:val="379B573F"/>
    <w:rsid w:val="37A51D10"/>
    <w:rsid w:val="3886580A"/>
    <w:rsid w:val="38E16034"/>
    <w:rsid w:val="399F0E61"/>
    <w:rsid w:val="39B0398A"/>
    <w:rsid w:val="3A135DBE"/>
    <w:rsid w:val="3B115DC4"/>
    <w:rsid w:val="3B227900"/>
    <w:rsid w:val="3B914646"/>
    <w:rsid w:val="3DB575F2"/>
    <w:rsid w:val="3FE4412B"/>
    <w:rsid w:val="40134513"/>
    <w:rsid w:val="40C4529F"/>
    <w:rsid w:val="41BF7F6C"/>
    <w:rsid w:val="41F7256E"/>
    <w:rsid w:val="424B7984"/>
    <w:rsid w:val="43613655"/>
    <w:rsid w:val="45256947"/>
    <w:rsid w:val="454511DF"/>
    <w:rsid w:val="458C0DD7"/>
    <w:rsid w:val="46106CF6"/>
    <w:rsid w:val="46C6402F"/>
    <w:rsid w:val="46FC186C"/>
    <w:rsid w:val="48E731AA"/>
    <w:rsid w:val="49046B1C"/>
    <w:rsid w:val="4AF12E50"/>
    <w:rsid w:val="4B8F4629"/>
    <w:rsid w:val="4D034732"/>
    <w:rsid w:val="4D226AAC"/>
    <w:rsid w:val="4DA45115"/>
    <w:rsid w:val="4E5655A5"/>
    <w:rsid w:val="4EA743E6"/>
    <w:rsid w:val="505E674E"/>
    <w:rsid w:val="50D81641"/>
    <w:rsid w:val="50DE4DBD"/>
    <w:rsid w:val="51C3292E"/>
    <w:rsid w:val="51F65C49"/>
    <w:rsid w:val="52A87672"/>
    <w:rsid w:val="52D72799"/>
    <w:rsid w:val="52EA70C8"/>
    <w:rsid w:val="52F26A7F"/>
    <w:rsid w:val="54CA19B0"/>
    <w:rsid w:val="554E28FE"/>
    <w:rsid w:val="566C2870"/>
    <w:rsid w:val="57B57DBB"/>
    <w:rsid w:val="58DF190E"/>
    <w:rsid w:val="58F13324"/>
    <w:rsid w:val="59294936"/>
    <w:rsid w:val="59441620"/>
    <w:rsid w:val="5B8E2D5D"/>
    <w:rsid w:val="5C0430D5"/>
    <w:rsid w:val="5CD91574"/>
    <w:rsid w:val="5D0E28AF"/>
    <w:rsid w:val="5E122349"/>
    <w:rsid w:val="5EA12B9A"/>
    <w:rsid w:val="5FD0322B"/>
    <w:rsid w:val="61495338"/>
    <w:rsid w:val="61A11EA0"/>
    <w:rsid w:val="62CB5E8E"/>
    <w:rsid w:val="62F25759"/>
    <w:rsid w:val="634477A9"/>
    <w:rsid w:val="63511FA7"/>
    <w:rsid w:val="63663611"/>
    <w:rsid w:val="645158D0"/>
    <w:rsid w:val="6496711E"/>
    <w:rsid w:val="64B47601"/>
    <w:rsid w:val="64B52C73"/>
    <w:rsid w:val="64C75CF6"/>
    <w:rsid w:val="64E67A77"/>
    <w:rsid w:val="65631D09"/>
    <w:rsid w:val="65F3314E"/>
    <w:rsid w:val="6728581E"/>
    <w:rsid w:val="674B7AEA"/>
    <w:rsid w:val="67A07670"/>
    <w:rsid w:val="67B42CBD"/>
    <w:rsid w:val="68056E47"/>
    <w:rsid w:val="68194C3B"/>
    <w:rsid w:val="69372D96"/>
    <w:rsid w:val="69C55CFF"/>
    <w:rsid w:val="6A12542A"/>
    <w:rsid w:val="6B0274C2"/>
    <w:rsid w:val="6C4C3A45"/>
    <w:rsid w:val="6E311877"/>
    <w:rsid w:val="6E336B29"/>
    <w:rsid w:val="6EA2154F"/>
    <w:rsid w:val="6EC03E05"/>
    <w:rsid w:val="6ED45DD7"/>
    <w:rsid w:val="6ED464FA"/>
    <w:rsid w:val="6F4021E5"/>
    <w:rsid w:val="6FD51D0A"/>
    <w:rsid w:val="704364E7"/>
    <w:rsid w:val="70E2745F"/>
    <w:rsid w:val="7111286E"/>
    <w:rsid w:val="713E1B08"/>
    <w:rsid w:val="71701991"/>
    <w:rsid w:val="71A150C1"/>
    <w:rsid w:val="72340CB9"/>
    <w:rsid w:val="72DE46DF"/>
    <w:rsid w:val="72F76EC7"/>
    <w:rsid w:val="730846B2"/>
    <w:rsid w:val="7480693E"/>
    <w:rsid w:val="749004D4"/>
    <w:rsid w:val="74983E64"/>
    <w:rsid w:val="761A29D2"/>
    <w:rsid w:val="77107979"/>
    <w:rsid w:val="77144069"/>
    <w:rsid w:val="780B6495"/>
    <w:rsid w:val="7A8D6040"/>
    <w:rsid w:val="7BDD4178"/>
    <w:rsid w:val="7C5A28BF"/>
    <w:rsid w:val="7E42085A"/>
    <w:rsid w:val="7F542F90"/>
    <w:rsid w:val="7FC01F0E"/>
    <w:rsid w:val="7FD919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adjustRightInd w:val="0"/>
      <w:snapToGrid w:val="0"/>
      <w:spacing w:line="400" w:lineRule="atLeast"/>
      <w:ind w:right="48"/>
      <w:jc w:val="center"/>
      <w:textAlignment w:val="baseline"/>
      <w:outlineLvl w:val="1"/>
    </w:pPr>
    <w:rPr>
      <w:rFonts w:ascii="MingLiU" w:eastAsia="MingLiU"/>
      <w:kern w:val="0"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60" w:lineRule="atLeast"/>
      <w:ind w:left="480"/>
      <w:textAlignment w:val="baseline"/>
    </w:pPr>
    <w:rPr>
      <w:kern w:val="0"/>
    </w:rPr>
  </w:style>
  <w:style w:type="paragraph" w:styleId="4">
    <w:name w:val="Body Text"/>
    <w:basedOn w:val="1"/>
    <w:unhideWhenUsed/>
    <w:qFormat/>
    <w:uiPriority w:val="99"/>
    <w:pPr>
      <w:spacing w:line="420" w:lineRule="exact"/>
    </w:pPr>
    <w:rPr>
      <w:sz w:val="24"/>
    </w:rPr>
  </w:style>
  <w:style w:type="paragraph" w:styleId="5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character" w:customStyle="1" w:styleId="13">
    <w:name w:val="页眉 Char"/>
    <w:basedOn w:val="11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1364</Words>
  <Characters>7780</Characters>
  <Lines>64</Lines>
  <Paragraphs>18</Paragraphs>
  <TotalTime>0</TotalTime>
  <ScaleCrop>false</ScaleCrop>
  <LinksUpToDate>false</LinksUpToDate>
  <CharactersWithSpaces>9126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2020-08-09T04:20:28Z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